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2E11E1" w:rsidP="0059752B">
                            <w:pPr>
                              <w:jc w:val="right"/>
                              <w:rPr>
                                <w:rFonts w:ascii="Gill Sans MT" w:hAnsi="Gill Sans MT"/>
                                <w:b/>
                                <w:sz w:val="28"/>
                              </w:rPr>
                            </w:pPr>
                            <w:r>
                              <w:rPr>
                                <w:rFonts w:ascii="Gill Sans MT" w:hAnsi="Gill Sans MT"/>
                                <w:b/>
                                <w:sz w:val="28"/>
                              </w:rPr>
                              <w:t>JOHN H. GIBBON</w:t>
                            </w:r>
                          </w:p>
                          <w:p w:rsidR="0059752B" w:rsidRPr="003C4FBC" w:rsidRDefault="002E11E1" w:rsidP="0059752B">
                            <w:pPr>
                              <w:jc w:val="right"/>
                              <w:rPr>
                                <w:rFonts w:ascii="Gill Sans MT" w:hAnsi="Gill Sans MT"/>
                                <w:sz w:val="24"/>
                                <w:szCs w:val="24"/>
                              </w:rPr>
                            </w:pPr>
                            <w:r>
                              <w:rPr>
                                <w:rFonts w:ascii="Gill Sans MT" w:hAnsi="Gill Sans MT"/>
                                <w:sz w:val="24"/>
                                <w:szCs w:val="24"/>
                              </w:rPr>
                              <w:t>Retired Attorney</w:t>
                            </w:r>
                          </w:p>
                          <w:p w:rsidR="0059752B" w:rsidRPr="003C4FBC" w:rsidRDefault="002E11E1" w:rsidP="0059752B">
                            <w:pPr>
                              <w:jc w:val="right"/>
                              <w:rPr>
                                <w:rFonts w:ascii="Gill Sans MT" w:hAnsi="Gill Sans MT"/>
                                <w:sz w:val="24"/>
                                <w:szCs w:val="24"/>
                              </w:rPr>
                            </w:pPr>
                            <w:r>
                              <w:rPr>
                                <w:rFonts w:ascii="Gill Sans MT" w:hAnsi="Gill Sans MT"/>
                                <w:sz w:val="24"/>
                                <w:szCs w:val="24"/>
                              </w:rPr>
                              <w:t>June 16, 2014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2E11E1" w:rsidP="0059752B">
                      <w:pPr>
                        <w:jc w:val="right"/>
                        <w:rPr>
                          <w:rFonts w:ascii="Gill Sans MT" w:hAnsi="Gill Sans MT"/>
                          <w:b/>
                          <w:sz w:val="28"/>
                        </w:rPr>
                      </w:pPr>
                      <w:r>
                        <w:rPr>
                          <w:rFonts w:ascii="Gill Sans MT" w:hAnsi="Gill Sans MT"/>
                          <w:b/>
                          <w:sz w:val="28"/>
                        </w:rPr>
                        <w:t>JOHN H. GIBBON</w:t>
                      </w:r>
                    </w:p>
                    <w:p w:rsidR="0059752B" w:rsidRPr="003C4FBC" w:rsidRDefault="002E11E1" w:rsidP="0059752B">
                      <w:pPr>
                        <w:jc w:val="right"/>
                        <w:rPr>
                          <w:rFonts w:ascii="Gill Sans MT" w:hAnsi="Gill Sans MT"/>
                          <w:sz w:val="24"/>
                          <w:szCs w:val="24"/>
                        </w:rPr>
                      </w:pPr>
                      <w:r>
                        <w:rPr>
                          <w:rFonts w:ascii="Gill Sans MT" w:hAnsi="Gill Sans MT"/>
                          <w:sz w:val="24"/>
                          <w:szCs w:val="24"/>
                        </w:rPr>
                        <w:t>Retired Attorney</w:t>
                      </w:r>
                    </w:p>
                    <w:p w:rsidR="0059752B" w:rsidRPr="003C4FBC" w:rsidRDefault="002E11E1" w:rsidP="0059752B">
                      <w:pPr>
                        <w:jc w:val="right"/>
                        <w:rPr>
                          <w:rFonts w:ascii="Gill Sans MT" w:hAnsi="Gill Sans MT"/>
                          <w:sz w:val="24"/>
                          <w:szCs w:val="24"/>
                        </w:rPr>
                      </w:pPr>
                      <w:r>
                        <w:rPr>
                          <w:rFonts w:ascii="Gill Sans MT" w:hAnsi="Gill Sans MT"/>
                          <w:sz w:val="24"/>
                          <w:szCs w:val="24"/>
                        </w:rPr>
                        <w:t>June 16, 2014</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04050E" w:rsidRPr="0004050E" w:rsidRDefault="0004050E" w:rsidP="0004050E">
      <w:pPr>
        <w:jc w:val="both"/>
        <w:rPr>
          <w:rFonts w:ascii="Gill Sans MT" w:hAnsi="Gill Sans MT"/>
          <w:sz w:val="24"/>
        </w:rPr>
      </w:pPr>
      <w:r w:rsidRPr="0004050E">
        <w:rPr>
          <w:rFonts w:ascii="Gill Sans MT" w:hAnsi="Gill Sans MT"/>
          <w:sz w:val="24"/>
        </w:rPr>
        <w:t xml:space="preserve">For 28 years, John served as the Law Director for the City of Cleveland Heights, Ohio, which has historically been on the cutting edge of many municipal legal issues, and he also served as Law Director for the City of Aurora, Ohio for six years. He has represented numerous public entities—including municipalities, counties, housing authorities, nonprofit corporations, regional councils of </w:t>
      </w:r>
      <w:r w:rsidR="002E11E1" w:rsidRPr="0004050E">
        <w:rPr>
          <w:rFonts w:ascii="Gill Sans MT" w:hAnsi="Gill Sans MT"/>
          <w:sz w:val="24"/>
        </w:rPr>
        <w:t>government and</w:t>
      </w:r>
      <w:r w:rsidRPr="0004050E">
        <w:rPr>
          <w:rFonts w:ascii="Gill Sans MT" w:hAnsi="Gill Sans MT"/>
          <w:sz w:val="24"/>
        </w:rPr>
        <w:t xml:space="preserve"> insurance defense pools—throughout Ohio and has served as special counsel to those entities on nearly all aspects of public law.</w:t>
      </w:r>
    </w:p>
    <w:p w:rsidR="0004050E" w:rsidRPr="0004050E" w:rsidRDefault="0004050E" w:rsidP="0004050E">
      <w:pPr>
        <w:jc w:val="both"/>
        <w:rPr>
          <w:rFonts w:ascii="Gill Sans MT" w:hAnsi="Gill Sans MT"/>
          <w:sz w:val="24"/>
        </w:rPr>
      </w:pPr>
    </w:p>
    <w:p w:rsidR="0004050E" w:rsidRPr="0004050E" w:rsidRDefault="0004050E" w:rsidP="0004050E">
      <w:pPr>
        <w:jc w:val="both"/>
        <w:rPr>
          <w:rFonts w:ascii="Gill Sans MT" w:hAnsi="Gill Sans MT"/>
          <w:sz w:val="24"/>
        </w:rPr>
      </w:pPr>
      <w:r w:rsidRPr="0004050E">
        <w:rPr>
          <w:rFonts w:ascii="Gill Sans MT" w:hAnsi="Gill Sans MT"/>
          <w:sz w:val="24"/>
        </w:rPr>
        <w:t xml:space="preserve">In addition, John offers public clients over fifteen </w:t>
      </w:r>
      <w:r w:rsidR="002E11E1" w:rsidRPr="0004050E">
        <w:rPr>
          <w:rFonts w:ascii="Gill Sans MT" w:hAnsi="Gill Sans MT"/>
          <w:sz w:val="24"/>
        </w:rPr>
        <w:t>years’ experience</w:t>
      </w:r>
      <w:r w:rsidRPr="0004050E">
        <w:rPr>
          <w:rFonts w:ascii="Gill Sans MT" w:hAnsi="Gill Sans MT"/>
          <w:sz w:val="24"/>
        </w:rPr>
        <w:t xml:space="preserve"> with cable television and telecommunications law. John has written numerous articles regarding cable television and telecommunications issues for municipal publications such as "The Urban Lawyer" and "Local Government Law Weekly," both published by the American Bar Association, as well as "Ohio Cities and Villages" magazine. A chapter on telecommunications, authored by John and other members of the Walter | </w:t>
      </w:r>
      <w:proofErr w:type="spellStart"/>
      <w:r w:rsidRPr="0004050E">
        <w:rPr>
          <w:rFonts w:ascii="Gill Sans MT" w:hAnsi="Gill Sans MT"/>
          <w:sz w:val="24"/>
        </w:rPr>
        <w:t>Haverfield</w:t>
      </w:r>
      <w:proofErr w:type="spellEnd"/>
      <w:r w:rsidRPr="0004050E">
        <w:rPr>
          <w:rFonts w:ascii="Gill Sans MT" w:hAnsi="Gill Sans MT"/>
          <w:sz w:val="24"/>
        </w:rPr>
        <w:t xml:space="preserve"> Telecommunications Practice Group appears in the book, "Privatizing Governmental Functions," published by Law Journal Press. He has also spoken on these issues to many municipal groups, including the National Association of Telecommunications Officers and Administrators (NATOA), the International Municipal Lawyers Association (IMLA) and its predecessor, the National Institute of Municipal Law Officers (NIMLO), the Ohio Municipal Attorneys Association (OMAA), the Ohio Municipal League (OML), the Mayors' Association of Ohio, and Kent State University's Elected Officials Program.</w:t>
      </w:r>
    </w:p>
    <w:p w:rsidR="0004050E" w:rsidRPr="0004050E" w:rsidRDefault="0004050E" w:rsidP="0004050E">
      <w:pPr>
        <w:jc w:val="both"/>
        <w:rPr>
          <w:rFonts w:ascii="Gill Sans MT" w:hAnsi="Gill Sans MT"/>
          <w:sz w:val="24"/>
        </w:rPr>
      </w:pPr>
    </w:p>
    <w:p w:rsidR="0004050E" w:rsidRPr="0004050E" w:rsidRDefault="0004050E" w:rsidP="0004050E">
      <w:pPr>
        <w:jc w:val="both"/>
        <w:rPr>
          <w:rFonts w:ascii="Gill Sans MT" w:hAnsi="Gill Sans MT"/>
          <w:sz w:val="24"/>
        </w:rPr>
      </w:pPr>
      <w:r w:rsidRPr="0004050E">
        <w:rPr>
          <w:rFonts w:ascii="Gill Sans MT" w:hAnsi="Gill Sans MT"/>
          <w:sz w:val="24"/>
        </w:rPr>
        <w:t>John has represented numerous public entities—including municipalities, counties, housing authorities, nonprofit corporations, regional councils of government and insurance defense pools—throughout Ohio and has served as special counsel to those entities on nearly all aspects of public law.</w:t>
      </w:r>
    </w:p>
    <w:p w:rsidR="0004050E" w:rsidRPr="0004050E" w:rsidRDefault="0004050E" w:rsidP="0004050E">
      <w:pPr>
        <w:jc w:val="both"/>
        <w:rPr>
          <w:rFonts w:ascii="Gill Sans MT" w:hAnsi="Gill Sans MT"/>
          <w:sz w:val="24"/>
        </w:rPr>
      </w:pPr>
      <w:r w:rsidRPr="0004050E">
        <w:rPr>
          <w:rFonts w:ascii="Gill Sans MT" w:hAnsi="Gill Sans MT"/>
          <w:sz w:val="24"/>
        </w:rPr>
        <w:t xml:space="preserve"> </w:t>
      </w:r>
      <w:bookmarkStart w:id="0" w:name="_GoBack"/>
      <w:bookmarkEnd w:id="0"/>
    </w:p>
    <w:sectPr w:rsidR="0004050E" w:rsidRPr="000405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4050E"/>
    <w:rsid w:val="00084191"/>
    <w:rsid w:val="002024BD"/>
    <w:rsid w:val="002E11E1"/>
    <w:rsid w:val="003C4FBC"/>
    <w:rsid w:val="00401CA3"/>
    <w:rsid w:val="0043514E"/>
    <w:rsid w:val="0059752B"/>
    <w:rsid w:val="0062052E"/>
    <w:rsid w:val="00B34487"/>
    <w:rsid w:val="00C40914"/>
    <w:rsid w:val="00E4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0EB19"/>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2021-07-22T13:09:00Z</dcterms:created>
  <dcterms:modified xsi:type="dcterms:W3CDTF">2021-07-22T13:11:00Z</dcterms:modified>
</cp:coreProperties>
</file>