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10314A" w:rsidP="0059752B">
                            <w:pPr>
                              <w:jc w:val="right"/>
                              <w:rPr>
                                <w:rFonts w:ascii="Gill Sans MT" w:hAnsi="Gill Sans MT"/>
                                <w:b/>
                                <w:sz w:val="28"/>
                              </w:rPr>
                            </w:pPr>
                            <w:r>
                              <w:rPr>
                                <w:rFonts w:ascii="Gill Sans MT" w:hAnsi="Gill Sans MT"/>
                                <w:b/>
                                <w:sz w:val="28"/>
                              </w:rPr>
                              <w:t>STEPHEN J. MILLER</w:t>
                            </w:r>
                          </w:p>
                          <w:p w:rsidR="00F95B8F" w:rsidRDefault="0010314A" w:rsidP="0059752B">
                            <w:pPr>
                              <w:jc w:val="right"/>
                              <w:rPr>
                                <w:rFonts w:ascii="Gill Sans MT" w:hAnsi="Gill Sans MT"/>
                                <w:sz w:val="24"/>
                                <w:szCs w:val="24"/>
                              </w:rPr>
                            </w:pPr>
                            <w:r>
                              <w:rPr>
                                <w:rFonts w:ascii="Gill Sans MT" w:hAnsi="Gill Sans MT"/>
                                <w:sz w:val="24"/>
                                <w:szCs w:val="24"/>
                              </w:rPr>
                              <w:t>Corporate Counsel; AMRI (Albany Molecular Research Inc.)</w:t>
                            </w:r>
                          </w:p>
                          <w:p w:rsidR="0059752B" w:rsidRPr="003C4FBC" w:rsidRDefault="001B6121" w:rsidP="0059752B">
                            <w:pPr>
                              <w:jc w:val="right"/>
                              <w:rPr>
                                <w:rFonts w:ascii="Gill Sans MT" w:hAnsi="Gill Sans MT"/>
                                <w:sz w:val="24"/>
                                <w:szCs w:val="24"/>
                              </w:rPr>
                            </w:pPr>
                            <w:r>
                              <w:rPr>
                                <w:rFonts w:ascii="Gill Sans MT" w:hAnsi="Gill Sans MT"/>
                                <w:sz w:val="24"/>
                                <w:szCs w:val="24"/>
                              </w:rPr>
                              <w:t>Board Start 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10314A" w:rsidP="0059752B">
                      <w:pPr>
                        <w:jc w:val="right"/>
                        <w:rPr>
                          <w:rFonts w:ascii="Gill Sans MT" w:hAnsi="Gill Sans MT"/>
                          <w:b/>
                          <w:sz w:val="28"/>
                        </w:rPr>
                      </w:pPr>
                      <w:r>
                        <w:rPr>
                          <w:rFonts w:ascii="Gill Sans MT" w:hAnsi="Gill Sans MT"/>
                          <w:b/>
                          <w:sz w:val="28"/>
                        </w:rPr>
                        <w:t>STEPHEN J. MILLER</w:t>
                      </w:r>
                    </w:p>
                    <w:p w:rsidR="00F95B8F" w:rsidRDefault="0010314A" w:rsidP="0059752B">
                      <w:pPr>
                        <w:jc w:val="right"/>
                        <w:rPr>
                          <w:rFonts w:ascii="Gill Sans MT" w:hAnsi="Gill Sans MT"/>
                          <w:sz w:val="24"/>
                          <w:szCs w:val="24"/>
                        </w:rPr>
                      </w:pPr>
                      <w:r>
                        <w:rPr>
                          <w:rFonts w:ascii="Gill Sans MT" w:hAnsi="Gill Sans MT"/>
                          <w:sz w:val="24"/>
                          <w:szCs w:val="24"/>
                        </w:rPr>
                        <w:t>Corporate Counsel; AMRI (Albany Molecular Research Inc.)</w:t>
                      </w:r>
                    </w:p>
                    <w:p w:rsidR="0059752B" w:rsidRPr="003C4FBC" w:rsidRDefault="001B6121" w:rsidP="0059752B">
                      <w:pPr>
                        <w:jc w:val="right"/>
                        <w:rPr>
                          <w:rFonts w:ascii="Gill Sans MT" w:hAnsi="Gill Sans MT"/>
                          <w:sz w:val="24"/>
                          <w:szCs w:val="24"/>
                        </w:rPr>
                      </w:pPr>
                      <w:r>
                        <w:rPr>
                          <w:rFonts w:ascii="Gill Sans MT" w:hAnsi="Gill Sans MT"/>
                          <w:sz w:val="24"/>
                          <w:szCs w:val="24"/>
                        </w:rPr>
                        <w:t>Board Start Date</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59752B" w:rsidRDefault="000F1B33" w:rsidP="0010314A">
      <w:pPr>
        <w:jc w:val="both"/>
        <w:rPr>
          <w:rFonts w:ascii="Gill Sans MT" w:eastAsia="Times New Roman" w:hAnsi="Gill Sans MT" w:cs="Segoe UI"/>
          <w:sz w:val="24"/>
          <w:szCs w:val="24"/>
        </w:rPr>
      </w:pPr>
      <w:r>
        <w:rPr>
          <w:rFonts w:ascii="Gill Sans MT" w:eastAsia="Times New Roman" w:hAnsi="Gill Sans MT" w:cs="Segoe UI"/>
          <w:sz w:val="24"/>
          <w:szCs w:val="24"/>
        </w:rPr>
        <w:t>Stephen J. Miller is a s</w:t>
      </w:r>
      <w:r w:rsidRPr="000F1B33">
        <w:rPr>
          <w:rFonts w:ascii="Gill Sans MT" w:eastAsia="Times New Roman" w:hAnsi="Gill Sans MT" w:cs="Segoe UI"/>
          <w:sz w:val="24"/>
          <w:szCs w:val="24"/>
        </w:rPr>
        <w:t xml:space="preserve">ubject matter </w:t>
      </w:r>
      <w:r>
        <w:rPr>
          <w:rFonts w:ascii="Gill Sans MT" w:eastAsia="Times New Roman" w:hAnsi="Gill Sans MT" w:cs="Segoe UI"/>
          <w:sz w:val="24"/>
          <w:szCs w:val="24"/>
        </w:rPr>
        <w:t>expert in areas that include</w:t>
      </w:r>
      <w:r w:rsidRPr="000F1B33">
        <w:rPr>
          <w:rFonts w:ascii="Gill Sans MT" w:eastAsia="Times New Roman" w:hAnsi="Gill Sans MT" w:cs="Segoe UI"/>
          <w:sz w:val="24"/>
          <w:szCs w:val="24"/>
        </w:rPr>
        <w:t xml:space="preserve"> complex commercial litigation, class actions, employment matters, antitrust, and products liability, among other areas of law. Experience also includes drafting dispositive and discovery motions, taking and defending depositions as first chair, representing clients in settlement negotiations and ADR, supervising and training junior associates and staff, participating in jury trials, and directing complex electronic discovery.</w:t>
      </w:r>
    </w:p>
    <w:p w:rsidR="000F1B33" w:rsidRDefault="000F1B33" w:rsidP="0010314A">
      <w:pPr>
        <w:jc w:val="both"/>
        <w:rPr>
          <w:rFonts w:ascii="Gill Sans MT" w:hAnsi="Gill Sans MT"/>
          <w:sz w:val="24"/>
        </w:rPr>
      </w:pPr>
    </w:p>
    <w:p w:rsidR="000F1B33" w:rsidRPr="0059752B" w:rsidRDefault="000F1B33" w:rsidP="0010314A">
      <w:pPr>
        <w:jc w:val="both"/>
        <w:rPr>
          <w:rFonts w:ascii="Gill Sans MT" w:hAnsi="Gill Sans MT"/>
          <w:sz w:val="24"/>
        </w:rPr>
      </w:pPr>
      <w:bookmarkStart w:id="0" w:name="_GoBack"/>
      <w:bookmarkEnd w:id="0"/>
    </w:p>
    <w:sectPr w:rsidR="000F1B33" w:rsidRPr="00597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altName w:val="Gisha"/>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0F1B33"/>
    <w:rsid w:val="0010314A"/>
    <w:rsid w:val="001B6121"/>
    <w:rsid w:val="002024BD"/>
    <w:rsid w:val="003C4FBC"/>
    <w:rsid w:val="00401CA3"/>
    <w:rsid w:val="0043514E"/>
    <w:rsid w:val="00455415"/>
    <w:rsid w:val="0059752B"/>
    <w:rsid w:val="0062052E"/>
    <w:rsid w:val="00B34487"/>
    <w:rsid w:val="00C40914"/>
    <w:rsid w:val="00E40E0E"/>
    <w:rsid w:val="00F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90ADD"/>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31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 w:type="character" w:customStyle="1" w:styleId="Heading2Char">
    <w:name w:val="Heading 2 Char"/>
    <w:basedOn w:val="DefaultParagraphFont"/>
    <w:link w:val="Heading2"/>
    <w:uiPriority w:val="9"/>
    <w:rsid w:val="0010314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2021-07-22T18:13:00Z</dcterms:created>
  <dcterms:modified xsi:type="dcterms:W3CDTF">2021-07-22T18:14:00Z</dcterms:modified>
</cp:coreProperties>
</file>